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tapes exp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rimentales du Bic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y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ommon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fr-FR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cembre 2021 - Paris (France)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Dans le cadre du forum de cl</w:t>
      </w:r>
      <w:r>
        <w:rPr>
          <w:rFonts w:ascii="Arial" w:hAnsi="Arial" w:hint="default"/>
          <w:sz w:val="24"/>
          <w:szCs w:val="24"/>
          <w:rtl w:val="0"/>
          <w:lang w:val="fr-FR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ture du projet Trans</w:t>
      </w:r>
      <w:r>
        <w:rPr>
          <w:rFonts w:ascii="Arial" w:hAnsi="Arial"/>
          <w:sz w:val="24"/>
          <w:szCs w:val="24"/>
          <w:rtl w:val="0"/>
          <w:lang w:val="it-IT"/>
        </w:rPr>
        <w:t>-</w:t>
      </w:r>
      <w:r>
        <w:rPr>
          <w:rFonts w:ascii="Arial" w:hAnsi="Arial"/>
          <w:sz w:val="24"/>
          <w:szCs w:val="24"/>
          <w:rtl w:val="0"/>
          <w:lang w:val="fr-FR"/>
        </w:rPr>
        <w:t xml:space="preserve">making : </w:t>
      </w:r>
    </w:p>
    <w:p>
      <w:pPr>
        <w:pStyle w:val="Corps"/>
        <w:jc w:val="both"/>
        <w:rPr>
          <w:rFonts w:ascii="Arial" w:cs="Arial" w:hAnsi="Arial" w:eastAsia="Arial"/>
          <w:outline w:val="0"/>
          <w:color w:val="212121"/>
          <w:sz w:val="24"/>
          <w:szCs w:val="24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fr-FR"/>
        </w:rPr>
        <w:t>P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roposition de Citema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Sarah Cl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ment &amp; Antoine Sicre de la "Requincaillerie &amp; Citoyen Mitoyen", Oscar Blanco du projet "Cocinas Migrantes" et avec le soutien de Fabienne Pourtein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: 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212121"/>
          <w:sz w:val="24"/>
          <w:szCs w:val="24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Prendre soin - dans et </w:t>
      </w:r>
      <w:r>
        <w:rPr>
          <w:rFonts w:ascii="Arial" w:hAnsi="Arial"/>
          <w:b w:val="1"/>
          <w:bCs w:val="1"/>
          <w:i w:val="1"/>
          <w:iCs w:val="1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de</w:t>
      </w:r>
      <w:r>
        <w:rPr>
          <w:rFonts w:ascii="Arial" w:hAnsi="Arial"/>
          <w:b w:val="1"/>
          <w:bCs w:val="1"/>
          <w:i w:val="1"/>
          <w:iCs w:val="1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l'espace public</w:t>
      </w:r>
    </w:p>
    <w:p>
      <w:pPr>
        <w:pStyle w:val="Corps"/>
        <w:jc w:val="both"/>
        <w:rPr>
          <w:rFonts w:ascii="Arial" w:cs="Arial" w:hAnsi="Arial" w:eastAsia="Arial"/>
          <w:outline w:val="0"/>
          <w:color w:val="212121"/>
          <w:sz w:val="24"/>
          <w:szCs w:val="24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A partir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exp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riences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j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existantes, 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flexions sur un mobilier nomade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qui prend forme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partir de l'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coute sensible d'un territoire pour le conna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î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tre, l'observer, le comprendre, tisser des liens entre les personnes, un espace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construire collectivement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ment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clencheur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une transformation sociale. </w:t>
      </w:r>
    </w:p>
    <w:p>
      <w:pPr>
        <w:pStyle w:val="Corps"/>
        <w:jc w:val="both"/>
        <w:rPr>
          <w:rFonts w:ascii="Arial" w:cs="Arial" w:hAnsi="Arial" w:eastAsia="Arial"/>
          <w:outline w:val="0"/>
          <w:color w:val="212121"/>
          <w:sz w:val="24"/>
          <w:szCs w:val="24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Cette exp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rimentation collective nous invitera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nous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questionner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galement sur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les enjeux du soin et de la convivialit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fr-FR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cembre 2021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janvier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2022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—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Valencia (Espagne)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Dans le cadre de sa mobilit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, Citema, afin de la recontextualiser dans une Europe en mutation (en lien avec le Covid), devra repartir de sa toute premi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è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re 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flexion dans le cadre du projet Trans-making : 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La recherche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velopp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e par Citema dans le cadre du projet Trans-making est une approche de terrain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« 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12121"/>
            </w14:solidFill>
          </w14:textFill>
        </w:rPr>
        <w:t>la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12121"/>
            </w14:solidFill>
          </w14:textFill>
        </w:rPr>
        <w:t xml:space="preserve">rive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12121"/>
            </w14:solidFill>
          </w14:textFill>
        </w:rPr>
        <w:t xml:space="preserve">»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qui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adapte aux diff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rents contextes qui se pr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sentent. Aujourd'hui, dans cette soci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boulevers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 et modifi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e, entre autres, par deux ann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es de pand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mies et 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12121"/>
            </w14:solidFill>
          </w14:textFill>
        </w:rPr>
        <w:t>impossibilit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effectuer les mobilit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pt-PT"/>
          <w14:textFill>
            <w14:solidFill>
              <w14:srgbClr w14:val="212121"/>
            </w14:solidFill>
          </w14:textFill>
        </w:rPr>
        <w:t>s pr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vues au projet Trans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12121"/>
            </w14:solidFill>
          </w14:textFill>
        </w:rPr>
        <w:t>-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making, notre recherche s'est naturellement traduite, cet hiver, par l'exp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rimentation d'un voyage d'un mois, partant de l'Italie vers l'Espagne via la France en voiture malgr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le contexte sanitaire et les restrictions qui s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en sont suivies. 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Observation et analyse de 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12121"/>
            </w14:solidFill>
          </w14:textFill>
        </w:rPr>
        <w:t>atmosph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è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re et ce qui bouge/ du sensible, du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visible et de l'invisible au sein de 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espace public, les diff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rents contextes : des rues, terrasses de caf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, des places, des centres commerciaux, des quartiers, des villages, voire de la plage.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de-DE"/>
          <w14:textFill>
            <w14:solidFill>
              <w14:srgbClr w14:val="212121"/>
            </w14:solidFill>
          </w14:textFill>
        </w:rPr>
        <w:t>Recherche orient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 xml:space="preserve">e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sur l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es cl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s de lecture,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ventuellement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l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es codes pour comprendre les diff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rents contextes.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 xml:space="preserve">Analyse /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coute et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interpr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tation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 des situations/ de la transformation visible apr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è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s ces deux ann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es de pand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mie en les comparant avec celles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avant la pand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mie.</w:t>
      </w:r>
    </w:p>
    <w:p>
      <w:pPr>
        <w:pStyle w:val="Di 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4"/>
          <w:szCs w:val="24"/>
          <w:rtl w:val="0"/>
          <w:lang w:val="en-US"/>
          <w14:textFill>
            <w14:solidFill>
              <w14:srgbClr w14:val="212121"/>
            </w14:solidFill>
          </w14:textFill>
        </w:rPr>
        <w:t xml:space="preserve">Grace 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la reprise des mobilit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s, ce voyage nomade nourri notre exp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rimentation d</w:t>
      </w:r>
      <w:r>
        <w:rPr>
          <w:rFonts w:ascii="Arial" w:hAnsi="Arial" w:hint="default"/>
          <w:outline w:val="0"/>
          <w:color w:val="212121"/>
          <w:sz w:val="24"/>
          <w:szCs w:val="24"/>
          <w:rtl w:val="0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12121"/>
            </w14:solidFill>
          </w14:textFill>
        </w:rPr>
        <w:t>un espace nomade collectif, le BicyCommon.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Avril-Mai 2022 - Cetona (Italie)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Dans le cadre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un petit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v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nement de cl</w:t>
      </w:r>
      <w:r>
        <w:rPr>
          <w:rFonts w:ascii="Arial" w:hAnsi="Arial" w:hint="default"/>
          <w:sz w:val="24"/>
          <w:szCs w:val="24"/>
          <w:rtl w:val="0"/>
          <w:lang w:val="fr-FR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ture du projet Trans</w:t>
      </w:r>
      <w:r>
        <w:rPr>
          <w:rFonts w:ascii="Arial" w:hAnsi="Arial"/>
          <w:sz w:val="24"/>
          <w:szCs w:val="24"/>
          <w:rtl w:val="0"/>
          <w:lang w:val="it-IT"/>
        </w:rPr>
        <w:t>-</w:t>
      </w:r>
      <w:r>
        <w:rPr>
          <w:rFonts w:ascii="Arial" w:hAnsi="Arial"/>
          <w:sz w:val="24"/>
          <w:szCs w:val="24"/>
          <w:rtl w:val="0"/>
          <w:lang w:val="fr-FR"/>
        </w:rPr>
        <w:t xml:space="preserve">making de la Citema, le </w:t>
      </w:r>
      <w:r>
        <w:rPr>
          <w:rFonts w:ascii="Arial" w:hAnsi="Arial"/>
          <w:sz w:val="24"/>
          <w:szCs w:val="24"/>
          <w:rtl w:val="0"/>
          <w:lang w:val="it-IT"/>
        </w:rPr>
        <w:t>B</w:t>
      </w:r>
      <w:r>
        <w:rPr>
          <w:rFonts w:ascii="Arial" w:hAnsi="Arial"/>
          <w:sz w:val="24"/>
          <w:szCs w:val="24"/>
          <w:rtl w:val="0"/>
          <w:lang w:val="fr-FR"/>
        </w:rPr>
        <w:t>icyommon, aboutissement de la recherche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association</w:t>
      </w:r>
      <w:r>
        <w:rPr>
          <w:rFonts w:ascii="Arial" w:hAnsi="Arial"/>
          <w:sz w:val="24"/>
          <w:szCs w:val="24"/>
          <w:rtl w:val="0"/>
          <w:lang w:val="fr-FR"/>
        </w:rPr>
        <w:t>, sera exp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riment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sous sa forme nomade, lieu polyvalent de rencontre, de </w:t>
      </w:r>
      <w:r>
        <w:rPr>
          <w:rFonts w:ascii="Arial" w:hAnsi="Arial" w:hint="default"/>
          <w:sz w:val="24"/>
          <w:szCs w:val="24"/>
          <w:rtl w:val="0"/>
          <w:lang w:val="fr-FR"/>
        </w:rPr>
        <w:t>« </w:t>
      </w:r>
      <w:r>
        <w:rPr>
          <w:rFonts w:ascii="Arial" w:hAnsi="Arial"/>
          <w:sz w:val="24"/>
          <w:szCs w:val="24"/>
          <w:rtl w:val="0"/>
          <w:lang w:val="fr-FR"/>
        </w:rPr>
        <w:t>prendre soin de</w:t>
      </w:r>
      <w:r>
        <w:rPr>
          <w:rFonts w:ascii="Arial" w:hAnsi="Arial" w:hint="default"/>
          <w:sz w:val="24"/>
          <w:szCs w:val="24"/>
          <w:rtl w:val="0"/>
          <w:lang w:val="fr-FR"/>
        </w:rPr>
        <w:t> »</w:t>
      </w:r>
      <w:r>
        <w:rPr>
          <w:rFonts w:ascii="Arial" w:hAnsi="Arial"/>
          <w:sz w:val="24"/>
          <w:szCs w:val="24"/>
          <w:rtl w:val="0"/>
          <w:lang w:val="fr-FR"/>
        </w:rPr>
        <w:t xml:space="preserve"> et de faire.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Participants : les chercheurs qui ont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velopp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leur recherche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Cetona ainsi que les diff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rents publics impliqu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 dans leur projet.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aliser une bicyclette</w:t>
      </w:r>
      <w:r>
        <w:rPr>
          <w:rFonts w:ascii="Arial" w:hAnsi="Arial"/>
          <w:sz w:val="24"/>
          <w:szCs w:val="24"/>
          <w:rtl w:val="0"/>
          <w:lang w:val="fr-FR"/>
        </w:rPr>
        <w:t>-</w:t>
      </w:r>
      <w:r>
        <w:rPr>
          <w:rFonts w:ascii="Arial" w:hAnsi="Arial"/>
          <w:sz w:val="24"/>
          <w:szCs w:val="24"/>
          <w:rtl w:val="0"/>
          <w:lang w:val="it-IT"/>
        </w:rPr>
        <w:t>B</w:t>
      </w:r>
      <w:r>
        <w:rPr>
          <w:rFonts w:ascii="Arial" w:hAnsi="Arial"/>
          <w:sz w:val="24"/>
          <w:szCs w:val="24"/>
          <w:rtl w:val="0"/>
          <w:lang w:val="fr-FR"/>
        </w:rPr>
        <w:t>icy</w:t>
      </w:r>
      <w:r>
        <w:rPr>
          <w:rFonts w:ascii="Arial" w:hAnsi="Arial"/>
          <w:sz w:val="24"/>
          <w:szCs w:val="24"/>
          <w:rtl w:val="0"/>
          <w:lang w:val="it-IT"/>
        </w:rPr>
        <w:t>C</w:t>
      </w:r>
      <w:r>
        <w:rPr>
          <w:rFonts w:ascii="Arial" w:hAnsi="Arial"/>
          <w:sz w:val="24"/>
          <w:szCs w:val="24"/>
          <w:rtl w:val="0"/>
          <w:lang w:val="fr-FR"/>
        </w:rPr>
        <w:t xml:space="preserve">ommon </w:t>
      </w:r>
      <w:r>
        <w:rPr>
          <w:rFonts w:ascii="Arial" w:hAnsi="Arial"/>
          <w:sz w:val="24"/>
          <w:szCs w:val="24"/>
          <w:rtl w:val="0"/>
          <w:lang w:val="fr-FR"/>
        </w:rPr>
        <w:t>sous sa forme la plus compl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te :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-afin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accompagner une exposition itin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rante dans le centre historique et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offrir des moments de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sentation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initiative, d</w:t>
      </w:r>
      <w:r>
        <w:rPr>
          <w:rFonts w:ascii="Arial" w:hAnsi="Arial" w:hint="default"/>
          <w:sz w:val="24"/>
          <w:szCs w:val="24"/>
          <w:rtl w:val="0"/>
          <w:lang w:val="fr-FR"/>
        </w:rPr>
        <w:t>’é</w:t>
      </w:r>
      <w:r>
        <w:rPr>
          <w:rFonts w:ascii="Arial" w:hAnsi="Arial"/>
          <w:sz w:val="24"/>
          <w:szCs w:val="24"/>
          <w:rtl w:val="0"/>
          <w:lang w:val="en-US"/>
        </w:rPr>
        <w:t>change,</w:t>
      </w:r>
      <w:r>
        <w:rPr>
          <w:rFonts w:ascii="Arial" w:hAnsi="Arial"/>
          <w:sz w:val="24"/>
          <w:szCs w:val="24"/>
          <w:rtl w:val="0"/>
          <w:lang w:val="fr-FR"/>
        </w:rPr>
        <w:t xml:space="preserve"> de partage, de pause, autour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une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gustation culinaire.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 -de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unir les chercheurs et le public sur la cr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ation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objets utilitaires en terre qui symboliquement seront offerts au public.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-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utiliser ce moyen nomade pour se rendre dans les quartiers les plus improbables et cl</w:t>
      </w:r>
      <w:r>
        <w:rPr>
          <w:rFonts w:ascii="Arial" w:hAnsi="Arial" w:hint="default"/>
          <w:sz w:val="24"/>
          <w:szCs w:val="24"/>
          <w:rtl w:val="0"/>
          <w:lang w:val="fr-FR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turer le projet avec des mini laboratoires, conversations, jeux et rafra</w:t>
      </w:r>
      <w:r>
        <w:rPr>
          <w:rFonts w:ascii="Arial" w:hAnsi="Arial" w:hint="default"/>
          <w:sz w:val="24"/>
          <w:szCs w:val="24"/>
          <w:rtl w:val="0"/>
          <w:lang w:val="fr-FR"/>
        </w:rPr>
        <w:t>î</w:t>
      </w:r>
      <w:r>
        <w:rPr>
          <w:rFonts w:ascii="Arial" w:hAnsi="Arial"/>
          <w:sz w:val="24"/>
          <w:szCs w:val="24"/>
          <w:rtl w:val="0"/>
          <w:lang w:val="fr-FR"/>
        </w:rPr>
        <w:t>chissements.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fr-FR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2022 Cuba et Chili</w:t>
      </w:r>
    </w:p>
    <w:p>
      <w:pPr>
        <w:pStyle w:val="Corps"/>
        <w:jc w:val="both"/>
      </w:pPr>
      <w:r>
        <w:rPr>
          <w:rFonts w:ascii="Arial" w:hAnsi="Arial"/>
          <w:sz w:val="24"/>
          <w:szCs w:val="24"/>
          <w:rtl w:val="0"/>
          <w:lang w:val="fr-FR"/>
        </w:rPr>
        <w:t>Cr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ation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un </w:t>
      </w:r>
      <w:r>
        <w:rPr>
          <w:rFonts w:ascii="Arial" w:hAnsi="Arial"/>
          <w:sz w:val="24"/>
          <w:szCs w:val="24"/>
          <w:rtl w:val="0"/>
          <w:lang w:val="it-IT"/>
        </w:rPr>
        <w:t>B</w:t>
      </w:r>
      <w:r>
        <w:rPr>
          <w:rFonts w:ascii="Arial" w:hAnsi="Arial"/>
          <w:sz w:val="24"/>
          <w:szCs w:val="24"/>
          <w:rtl w:val="0"/>
          <w:lang w:val="fr-FR"/>
        </w:rPr>
        <w:t>icy</w:t>
      </w:r>
      <w:r>
        <w:rPr>
          <w:rFonts w:ascii="Arial" w:hAnsi="Arial"/>
          <w:sz w:val="24"/>
          <w:szCs w:val="24"/>
          <w:rtl w:val="0"/>
          <w:lang w:val="it-IT"/>
        </w:rPr>
        <w:t>C</w:t>
      </w:r>
      <w:r>
        <w:rPr>
          <w:rFonts w:ascii="Arial" w:hAnsi="Arial"/>
          <w:sz w:val="24"/>
          <w:szCs w:val="24"/>
          <w:rtl w:val="0"/>
          <w:lang w:val="fr-FR"/>
        </w:rPr>
        <w:t>ommon en collaboration avec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universit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 La Havane.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